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40" w:lineRule="auto"/>
        <w:ind w:left="0" w:firstLine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https://www.statista.com/statistics/1071200/gestational-age-abortions-us-distribution/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line="240" w:lineRule="auto"/>
        <w:ind w:left="0" w:firstLine="0"/>
        <w:rPr/>
      </w:pPr>
      <w:r w:rsidDel="00000000" w:rsidR="00000000" w:rsidRPr="00000000">
        <w:rPr>
          <w:rtl w:val="0"/>
        </w:rPr>
        <w:t xml:space="preserve">Distribution of abortions in the U.S. in 2016, by gestational age(fetal age)</w:t>
      </w:r>
    </w:p>
    <w:p w:rsidR="00000000" w:rsidDel="00000000" w:rsidP="00000000" w:rsidRDefault="00000000" w:rsidRPr="00000000" w14:paraId="00000003">
      <w:pPr>
        <w:widowControl w:val="0"/>
        <w:spacing w:lin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240" w:lineRule="auto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https://www.statista.com/statistics/1079504/abortion-support-age-level-legalization-us/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6">
      <w:pPr>
        <w:widowControl w:val="0"/>
        <w:spacing w:lin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line="240" w:lineRule="auto"/>
        <w:ind w:left="0" w:firstLine="0"/>
        <w:rPr/>
      </w:pPr>
      <w:r w:rsidDel="00000000" w:rsidR="00000000" w:rsidRPr="00000000">
        <w:rPr>
          <w:rtl w:val="0"/>
        </w:rPr>
        <w:t xml:space="preserve">Share of adults in the United States who support abortion in 2019, by age and level of legalization</w:t>
      </w:r>
    </w:p>
    <w:p w:rsidR="00000000" w:rsidDel="00000000" w:rsidP="00000000" w:rsidRDefault="00000000" w:rsidRPr="00000000" w14:paraId="00000008">
      <w:pPr>
        <w:widowControl w:val="0"/>
        <w:spacing w:lin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https://www.cdc.gov/mmwr/volumes/68/ss/ss6811a1.htm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US abortion rate &amp; ration by age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statista.com/statistics/1071200/gestational-age-abortions-us-distribution/" TargetMode="External"/><Relationship Id="rId7" Type="http://schemas.openxmlformats.org/officeDocument/2006/relationships/hyperlink" Target="https://www.statista.com/statistics/1079504/abortion-support-age-level-legalization-us/" TargetMode="External"/><Relationship Id="rId8" Type="http://schemas.openxmlformats.org/officeDocument/2006/relationships/hyperlink" Target="https://www.cdc.gov/mmwr/volumes/68/ss/ss6811a1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